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90CBA" w14:textId="66F8F029" w:rsidR="007669B2" w:rsidRDefault="0063066B" w:rsidP="0063066B">
      <w:pPr>
        <w:spacing w:after="0" w:line="276" w:lineRule="auto"/>
        <w:ind w:left="360" w:right="360"/>
        <w:jc w:val="center"/>
        <w:rPr>
          <w:rFonts w:ascii="Forte" w:hAnsi="Forte"/>
          <w:color w:val="C00000"/>
          <w:sz w:val="96"/>
          <w:szCs w:val="96"/>
        </w:rPr>
      </w:pPr>
      <w:r>
        <w:rPr>
          <w:rFonts w:ascii="Forte" w:hAnsi="Forte"/>
          <w:color w:val="C00000"/>
          <w:sz w:val="96"/>
          <w:szCs w:val="96"/>
        </w:rPr>
        <w:t>Woodchip Bioreactors</w:t>
      </w:r>
    </w:p>
    <w:p w14:paraId="77223ACB" w14:textId="7DD5C844" w:rsidR="0063066B" w:rsidRDefault="0063066B" w:rsidP="0063066B">
      <w:pPr>
        <w:spacing w:after="0" w:line="276" w:lineRule="auto"/>
        <w:ind w:left="360" w:right="360"/>
        <w:jc w:val="center"/>
        <w:rPr>
          <w:rFonts w:ascii="Tw Cen MT" w:hAnsi="Tw Cen MT"/>
          <w:sz w:val="36"/>
          <w:szCs w:val="36"/>
        </w:rPr>
      </w:pPr>
      <w:r>
        <w:rPr>
          <w:rFonts w:ascii="Tw Cen MT" w:hAnsi="Tw Cen MT"/>
          <w:sz w:val="36"/>
          <w:szCs w:val="36"/>
        </w:rPr>
        <w:t xml:space="preserve">The Search for </w:t>
      </w:r>
      <w:r w:rsidR="00304367">
        <w:rPr>
          <w:rFonts w:ascii="Tw Cen MT" w:hAnsi="Tw Cen MT"/>
          <w:sz w:val="36"/>
          <w:szCs w:val="36"/>
        </w:rPr>
        <w:t>Fewer</w:t>
      </w:r>
      <w:r>
        <w:rPr>
          <w:rFonts w:ascii="Tw Cen MT" w:hAnsi="Tw Cen MT"/>
          <w:sz w:val="36"/>
          <w:szCs w:val="36"/>
        </w:rPr>
        <w:t xml:space="preserve"> Nitrates</w:t>
      </w:r>
    </w:p>
    <w:p w14:paraId="128B0406" w14:textId="7A260F00" w:rsidR="0063066B" w:rsidRPr="00F55A09" w:rsidRDefault="0063066B" w:rsidP="0063066B">
      <w:pPr>
        <w:spacing w:after="0" w:line="276" w:lineRule="auto"/>
        <w:ind w:left="360" w:right="360"/>
        <w:jc w:val="center"/>
        <w:rPr>
          <w:rFonts w:ascii="Tw Cen MT" w:hAnsi="Tw Cen MT"/>
          <w:sz w:val="20"/>
          <w:szCs w:val="20"/>
        </w:rPr>
      </w:pPr>
    </w:p>
    <w:p w14:paraId="211A7561" w14:textId="3E87F707" w:rsidR="0063066B" w:rsidRPr="00F55A09" w:rsidRDefault="0063066B" w:rsidP="0063066B">
      <w:pPr>
        <w:spacing w:after="0" w:line="276" w:lineRule="auto"/>
        <w:ind w:left="360" w:right="360"/>
        <w:jc w:val="center"/>
        <w:rPr>
          <w:rFonts w:ascii="Tw Cen MT" w:hAnsi="Tw Cen MT"/>
          <w:b/>
          <w:bCs/>
          <w:sz w:val="48"/>
          <w:szCs w:val="48"/>
        </w:rPr>
      </w:pPr>
      <w:r w:rsidRPr="001E0644">
        <w:rPr>
          <w:rFonts w:ascii="Tw Cen MT" w:hAnsi="Tw Cen MT"/>
          <w:b/>
          <w:bCs/>
          <w:sz w:val="44"/>
          <w:szCs w:val="48"/>
        </w:rPr>
        <w:t>TEACHER NOTES</w:t>
      </w:r>
      <w:r w:rsidR="001E0644" w:rsidRPr="001E0644">
        <w:rPr>
          <w:rFonts w:ascii="Tw Cen MT" w:hAnsi="Tw Cen MT"/>
          <w:b/>
          <w:bCs/>
          <w:sz w:val="44"/>
          <w:szCs w:val="48"/>
        </w:rPr>
        <w:t xml:space="preserve"> &amp; ACTIVITY PREP INSTRUCTIONS</w:t>
      </w:r>
    </w:p>
    <w:p w14:paraId="100B5434" w14:textId="667CA748" w:rsidR="0063066B" w:rsidRPr="00CA1EF3" w:rsidRDefault="0063066B" w:rsidP="0063066B">
      <w:pPr>
        <w:spacing w:after="0" w:line="276" w:lineRule="auto"/>
        <w:ind w:left="360" w:right="360"/>
        <w:jc w:val="center"/>
        <w:rPr>
          <w:rFonts w:ascii="Tw Cen MT" w:hAnsi="Tw Cen MT"/>
        </w:rPr>
      </w:pPr>
    </w:p>
    <w:p w14:paraId="5B5D444F" w14:textId="1263BBA4" w:rsidR="0063066B" w:rsidRPr="00EA0229" w:rsidRDefault="00CA1EF3" w:rsidP="0063066B">
      <w:pPr>
        <w:spacing w:after="0" w:line="276" w:lineRule="auto"/>
        <w:ind w:left="360" w:right="360"/>
        <w:rPr>
          <w:rFonts w:ascii="Tw Cen MT" w:hAnsi="Tw Cen MT"/>
          <w:b/>
          <w:bCs/>
          <w:sz w:val="32"/>
          <w:szCs w:val="32"/>
        </w:rPr>
      </w:pPr>
      <w:r w:rsidRPr="00EA0229">
        <w:rPr>
          <w:rFonts w:ascii="Tw Cen MT" w:hAnsi="Tw Cen MT" w:cstheme="minorHAnsi"/>
          <w:b/>
          <w:bCs/>
          <w:noProof/>
          <w:sz w:val="26"/>
          <w:szCs w:val="26"/>
        </w:rPr>
        <w:drawing>
          <wp:anchor distT="0" distB="0" distL="114300" distR="114300" simplePos="0" relativeHeight="251659264" behindDoc="0" locked="0" layoutInCell="1" allowOverlap="1" wp14:anchorId="3C00003C" wp14:editId="72551CFC">
            <wp:simplePos x="0" y="0"/>
            <wp:positionH relativeFrom="margin">
              <wp:posOffset>5260899</wp:posOffset>
            </wp:positionH>
            <wp:positionV relativeFrom="paragraph">
              <wp:posOffset>68012</wp:posOffset>
            </wp:positionV>
            <wp:extent cx="1437005" cy="2502535"/>
            <wp:effectExtent l="0" t="0" r="0" b="0"/>
            <wp:wrapSquare wrapText="bothSides"/>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rotWithShape="1">
                    <a:blip r:embed="rId5" cstate="print">
                      <a:extLst>
                        <a:ext uri="{28A0092B-C50C-407E-A947-70E740481C1C}">
                          <a14:useLocalDpi xmlns:a14="http://schemas.microsoft.com/office/drawing/2010/main" val="0"/>
                        </a:ext>
                      </a:extLst>
                    </a:blip>
                    <a:srcRect l="8928" r="52976"/>
                    <a:stretch/>
                  </pic:blipFill>
                  <pic:spPr bwMode="auto">
                    <a:xfrm>
                      <a:off x="0" y="0"/>
                      <a:ext cx="1437005" cy="2502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066B" w:rsidRPr="00EA0229">
        <w:rPr>
          <w:rFonts w:ascii="Tw Cen MT" w:hAnsi="Tw Cen MT"/>
          <w:b/>
          <w:bCs/>
          <w:sz w:val="32"/>
          <w:szCs w:val="32"/>
        </w:rPr>
        <w:t>Iowa State University scientist background:</w:t>
      </w:r>
      <w:r w:rsidRPr="00EA0229">
        <w:rPr>
          <w:rFonts w:ascii="Tw Cen MT" w:hAnsi="Tw Cen MT" w:cstheme="minorHAnsi"/>
          <w:b/>
          <w:bCs/>
          <w:noProof/>
          <w:sz w:val="26"/>
          <w:szCs w:val="26"/>
        </w:rPr>
        <w:t xml:space="preserve"> </w:t>
      </w:r>
    </w:p>
    <w:p w14:paraId="52EF87B4" w14:textId="17224771" w:rsidR="00CA1EF3" w:rsidRPr="00CA1EF3" w:rsidRDefault="00CA1EF3" w:rsidP="00CA1EF3">
      <w:pPr>
        <w:spacing w:after="0" w:line="276" w:lineRule="auto"/>
        <w:ind w:left="360" w:right="360"/>
        <w:rPr>
          <w:rFonts w:ascii="Tw Cen MT" w:hAnsi="Tw Cen MT"/>
        </w:rPr>
      </w:pPr>
      <w:r>
        <w:rPr>
          <w:rFonts w:ascii="Tw Cen MT" w:hAnsi="Tw Cen MT" w:cstheme="minorHAnsi"/>
          <w:noProof/>
          <w:sz w:val="26"/>
          <w:szCs w:val="26"/>
        </w:rPr>
        <mc:AlternateContent>
          <mc:Choice Requires="wps">
            <w:drawing>
              <wp:anchor distT="0" distB="0" distL="114300" distR="114300" simplePos="0" relativeHeight="251660288" behindDoc="0" locked="0" layoutInCell="1" allowOverlap="1" wp14:anchorId="4CF86EA3" wp14:editId="24D7B664">
                <wp:simplePos x="0" y="0"/>
                <wp:positionH relativeFrom="margin">
                  <wp:posOffset>4489797</wp:posOffset>
                </wp:positionH>
                <wp:positionV relativeFrom="paragraph">
                  <wp:posOffset>1217946</wp:posOffset>
                </wp:positionV>
                <wp:extent cx="1952625" cy="342900"/>
                <wp:effectExtent l="4763" t="0" r="0" b="0"/>
                <wp:wrapNone/>
                <wp:docPr id="4" name="Text Box 4"/>
                <wp:cNvGraphicFramePr/>
                <a:graphic xmlns:a="http://schemas.openxmlformats.org/drawingml/2006/main">
                  <a:graphicData uri="http://schemas.microsoft.com/office/word/2010/wordprocessingShape">
                    <wps:wsp>
                      <wps:cNvSpPr txBox="1"/>
                      <wps:spPr>
                        <a:xfrm rot="16200000">
                          <a:off x="0" y="0"/>
                          <a:ext cx="1952625" cy="342900"/>
                        </a:xfrm>
                        <a:prstGeom prst="rect">
                          <a:avLst/>
                        </a:prstGeom>
                        <a:noFill/>
                        <a:ln w="6350">
                          <a:noFill/>
                        </a:ln>
                      </wps:spPr>
                      <wps:txbx>
                        <w:txbxContent>
                          <w:p w14:paraId="3BDF4378" w14:textId="77777777" w:rsidR="00CA1EF3" w:rsidRPr="00CA1EF3" w:rsidRDefault="00CA1EF3" w:rsidP="00CA1EF3">
                            <w:pPr>
                              <w:rPr>
                                <w:sz w:val="14"/>
                                <w:szCs w:val="14"/>
                              </w:rPr>
                            </w:pPr>
                            <w:r w:rsidRPr="00CA1EF3">
                              <w:rPr>
                                <w:sz w:val="14"/>
                                <w:szCs w:val="14"/>
                              </w:rPr>
                              <w:t>Photo credit:  Iowa State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86EA3" id="_x0000_t202" coordsize="21600,21600" o:spt="202" path="m,l,21600r21600,l21600,xe">
                <v:stroke joinstyle="miter"/>
                <v:path gradientshapeok="t" o:connecttype="rect"/>
              </v:shapetype>
              <v:shape id="Text Box 4" o:spid="_x0000_s1026" type="#_x0000_t202" style="position:absolute;left:0;text-align:left;margin-left:353.55pt;margin-top:95.9pt;width:153.75pt;height:27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" filled="f" stroked="f" strokeweight=".5pt">
                <v:textbox>
                  <w:txbxContent>
                    <w:p w14:paraId="3BDF4378" w14:textId="77777777" w:rsidR="00CA1EF3" w:rsidRPr="00CA1EF3" w:rsidRDefault="00CA1EF3" w:rsidP="00CA1EF3">
                      <w:pPr>
                        <w:rPr>
                          <w:sz w:val="14"/>
                          <w:szCs w:val="14"/>
                        </w:rPr>
                      </w:pPr>
                      <w:r w:rsidRPr="00CA1EF3">
                        <w:rPr>
                          <w:sz w:val="14"/>
                          <w:szCs w:val="14"/>
                        </w:rPr>
                        <w:t>Photo credit:  Iowa State University</w:t>
                      </w:r>
                    </w:p>
                  </w:txbxContent>
                </v:textbox>
                <w10:wrap anchorx="margin"/>
              </v:shape>
            </w:pict>
          </mc:Fallback>
        </mc:AlternateContent>
      </w:r>
      <w:r w:rsidRPr="00CA1EF3">
        <w:rPr>
          <w:rFonts w:ascii="Tw Cen MT" w:hAnsi="Tw Cen MT"/>
        </w:rPr>
        <w:t xml:space="preserve">In 2008, Dr. Michelle Soupir joined the Agriculture and Biosystems Engineering department at Iowa State University.  The goal of Dr. </w:t>
      </w:r>
      <w:proofErr w:type="spellStart"/>
      <w:r w:rsidRPr="00CA1EF3">
        <w:rPr>
          <w:rFonts w:ascii="Tw Cen MT" w:hAnsi="Tw Cen MT"/>
        </w:rPr>
        <w:t>Soupir’s</w:t>
      </w:r>
      <w:proofErr w:type="spellEnd"/>
      <w:r w:rsidRPr="00CA1EF3">
        <w:rPr>
          <w:rFonts w:ascii="Tw Cen MT" w:hAnsi="Tw Cen MT"/>
        </w:rPr>
        <w:t xml:space="preserve"> research program is to conduct basic research to move us toward more sustainable water systems.  Dr. Soupir uses lab- and field-based research projects to monitor the occurrence, fate and movement of nutrients and microorganisms in surface and drainage water.</w:t>
      </w:r>
    </w:p>
    <w:p w14:paraId="4A35F0BD" w14:textId="4E51656F" w:rsidR="00CA1EF3" w:rsidRPr="00CA1EF3" w:rsidRDefault="00CA1EF3" w:rsidP="00CA1EF3">
      <w:pPr>
        <w:spacing w:after="0" w:line="276" w:lineRule="auto"/>
        <w:ind w:left="360" w:right="360"/>
        <w:rPr>
          <w:rFonts w:ascii="Tw Cen MT" w:hAnsi="Tw Cen MT"/>
        </w:rPr>
      </w:pPr>
    </w:p>
    <w:p w14:paraId="756A9CF8" w14:textId="38D1C68E" w:rsidR="0063066B" w:rsidRPr="00CA1EF3" w:rsidRDefault="00CA1EF3" w:rsidP="00CA1EF3">
      <w:pPr>
        <w:spacing w:after="0" w:line="276" w:lineRule="auto"/>
        <w:ind w:left="360" w:right="360"/>
        <w:rPr>
          <w:rFonts w:ascii="Tw Cen MT" w:hAnsi="Tw Cen MT"/>
        </w:rPr>
      </w:pPr>
      <w:r w:rsidRPr="00CA1EF3">
        <w:rPr>
          <w:rFonts w:ascii="Tw Cen MT" w:hAnsi="Tw Cen MT"/>
        </w:rPr>
        <w:t xml:space="preserve">In 2013, Dr. </w:t>
      </w:r>
      <w:proofErr w:type="spellStart"/>
      <w:r w:rsidRPr="00CA1EF3">
        <w:rPr>
          <w:rFonts w:ascii="Tw Cen MT" w:hAnsi="Tw Cen MT"/>
        </w:rPr>
        <w:t>Soupir’s</w:t>
      </w:r>
      <w:proofErr w:type="spellEnd"/>
      <w:r w:rsidRPr="00CA1EF3">
        <w:rPr>
          <w:rFonts w:ascii="Tw Cen MT" w:hAnsi="Tw Cen MT"/>
        </w:rPr>
        <w:t xml:space="preserve"> lab began a project on which these curriculum modules are based.  Experimental woodchip bioreactors were designed and installed at the Agricultural Engineering Research Farm near Ames, Iowa.  These pilot-scale woodchip bioreactors are used to evaluate the nutrient removal from agricultural drainage water.  Dr. </w:t>
      </w:r>
      <w:proofErr w:type="spellStart"/>
      <w:r w:rsidRPr="00CA1EF3">
        <w:rPr>
          <w:rFonts w:ascii="Tw Cen MT" w:hAnsi="Tw Cen MT"/>
        </w:rPr>
        <w:t>Soupir’s</w:t>
      </w:r>
      <w:proofErr w:type="spellEnd"/>
      <w:r w:rsidRPr="00CA1EF3">
        <w:rPr>
          <w:rFonts w:ascii="Tw Cen MT" w:hAnsi="Tw Cen MT"/>
        </w:rPr>
        <w:t xml:space="preserve"> students manipulate a variety of variables including hydraulic retention times, bioreactor fill materials, and influent nutrient conditions to determine the effectiveness and efficiency of the bioreactors and investigate ways to make bioreactors work better.  </w:t>
      </w:r>
    </w:p>
    <w:p w14:paraId="3537D858" w14:textId="77777777" w:rsidR="0063066B" w:rsidRDefault="0063066B" w:rsidP="0063066B">
      <w:pPr>
        <w:spacing w:after="0" w:line="276" w:lineRule="auto"/>
        <w:ind w:left="360" w:right="360"/>
        <w:rPr>
          <w:rFonts w:ascii="Tw Cen MT" w:hAnsi="Tw Cen MT"/>
          <w:sz w:val="32"/>
          <w:szCs w:val="32"/>
        </w:rPr>
      </w:pPr>
    </w:p>
    <w:p w14:paraId="25530A71" w14:textId="59A90351" w:rsidR="0063066B" w:rsidRPr="00EA0229" w:rsidRDefault="0063066B" w:rsidP="00EA0229">
      <w:pPr>
        <w:spacing w:after="0" w:line="276" w:lineRule="auto"/>
        <w:ind w:left="360" w:right="360"/>
        <w:rPr>
          <w:rFonts w:ascii="Tw Cen MT" w:hAnsi="Tw Cen MT"/>
          <w:b/>
          <w:bCs/>
          <w:sz w:val="32"/>
          <w:szCs w:val="32"/>
        </w:rPr>
      </w:pPr>
      <w:r w:rsidRPr="00EA0229">
        <w:rPr>
          <w:rFonts w:ascii="Tw Cen MT" w:hAnsi="Tw Cen MT"/>
          <w:b/>
          <w:bCs/>
          <w:sz w:val="32"/>
          <w:szCs w:val="32"/>
        </w:rPr>
        <w:t>Research background:</w:t>
      </w:r>
    </w:p>
    <w:p w14:paraId="59FD23C9" w14:textId="77777777" w:rsidR="0063066B" w:rsidRPr="00CA1EF3" w:rsidRDefault="0063066B" w:rsidP="0063066B">
      <w:pPr>
        <w:spacing w:after="0" w:line="276" w:lineRule="auto"/>
        <w:ind w:left="360" w:right="360"/>
        <w:rPr>
          <w:rFonts w:ascii="Tw Cen MT" w:hAnsi="Tw Cen MT"/>
        </w:rPr>
      </w:pPr>
      <w:r w:rsidRPr="00CA1EF3">
        <w:rPr>
          <w:rFonts w:ascii="Tw Cen MT" w:hAnsi="Tw Cen MT"/>
        </w:rPr>
        <w:t>Many parts of the Upper Midwestern United States have wet soils that require drainage in order for them to be used for agriculture.  Draining of subsurface water (tiling) in farm fields is a practice that farmers have used for more than 100 years because doing so results in a significant increase in crop yield.  Concerns have grown, however, about the effect this practice has on the movement of pollutants (i.e., nitrates and phosphates) through fields and into waters. systems.  Nitrate (NO3-1), which can be present in high amounts in drainage water, makes its way into streams, rivers and lakes where it unbalances ecosystems and can result in hypoxic conditions, as we have seen develop in the Gulf of Mexico, also known as the Gulf Dead Zone.</w:t>
      </w:r>
    </w:p>
    <w:p w14:paraId="5F52B7F3" w14:textId="77777777" w:rsidR="0063066B" w:rsidRPr="00CA1EF3" w:rsidRDefault="0063066B" w:rsidP="0063066B">
      <w:pPr>
        <w:spacing w:after="0" w:line="276" w:lineRule="auto"/>
        <w:ind w:left="360" w:right="360"/>
        <w:rPr>
          <w:rFonts w:ascii="Tw Cen MT" w:hAnsi="Tw Cen MT"/>
        </w:rPr>
      </w:pPr>
    </w:p>
    <w:p w14:paraId="4FAC3360" w14:textId="0367CEA1" w:rsidR="0063066B" w:rsidRPr="00CA1EF3" w:rsidRDefault="0063066B" w:rsidP="0063066B">
      <w:pPr>
        <w:spacing w:after="0" w:line="276" w:lineRule="auto"/>
        <w:ind w:left="360" w:right="360"/>
        <w:rPr>
          <w:rFonts w:ascii="Tw Cen MT" w:hAnsi="Tw Cen MT"/>
        </w:rPr>
      </w:pPr>
      <w:r w:rsidRPr="00CA1EF3">
        <w:rPr>
          <w:rFonts w:ascii="Tw Cen MT" w:hAnsi="Tw Cen MT"/>
        </w:rPr>
        <w:t>Woodchip bioreactors have proven to be a simple, yet highly effective way to remove nitrate pollution without impacting current land management practices.  Field runoff water is collected via tiling and diverted into the bioreactor, which is essentially a buried trench filled with woodchips.  Denitrification occurs when microbes living on the surface of woodchips (or other suitable material) use the wood as a carbon source to convert nitrate to nitrogen gas (N2).  The result is cleaner water which can be discharged into existing streams and rivers.</w:t>
      </w:r>
    </w:p>
    <w:p w14:paraId="70CA3B14" w14:textId="77777777" w:rsidR="0063066B" w:rsidRDefault="0063066B" w:rsidP="0063066B">
      <w:pPr>
        <w:spacing w:after="0" w:line="276" w:lineRule="auto"/>
        <w:ind w:left="360" w:right="360"/>
        <w:rPr>
          <w:rFonts w:ascii="Tw Cen MT" w:hAnsi="Tw Cen MT"/>
          <w:sz w:val="32"/>
          <w:szCs w:val="32"/>
        </w:rPr>
      </w:pPr>
    </w:p>
    <w:p w14:paraId="1F20D6B3" w14:textId="5C5813E5" w:rsidR="0063066B" w:rsidRPr="00F55A09" w:rsidRDefault="00F55A09" w:rsidP="0063066B">
      <w:pPr>
        <w:spacing w:after="0" w:line="276" w:lineRule="auto"/>
        <w:ind w:left="360" w:right="360"/>
        <w:rPr>
          <w:rFonts w:ascii="Tw Cen MT" w:hAnsi="Tw Cen MT"/>
          <w:b/>
          <w:bCs/>
          <w:sz w:val="32"/>
          <w:szCs w:val="32"/>
        </w:rPr>
      </w:pPr>
      <w:r w:rsidRPr="00F55A09">
        <w:rPr>
          <w:rFonts w:ascii="Tw Cen MT" w:hAnsi="Tw Cen MT"/>
          <w:b/>
          <w:bCs/>
          <w:sz w:val="32"/>
          <w:szCs w:val="32"/>
        </w:rPr>
        <w:t xml:space="preserve">Students’ use of the </w:t>
      </w:r>
      <w:r w:rsidRPr="00F55A09">
        <w:rPr>
          <w:rFonts w:ascii="Tw Cen MT" w:hAnsi="Tw Cen MT"/>
          <w:b/>
          <w:bCs/>
          <w:color w:val="4472C4" w:themeColor="accent1"/>
          <w:sz w:val="32"/>
          <w:szCs w:val="32"/>
        </w:rPr>
        <w:t>Science and Engineering Practices</w:t>
      </w:r>
      <w:r w:rsidR="0063066B" w:rsidRPr="00F55A09">
        <w:rPr>
          <w:rFonts w:ascii="Tw Cen MT" w:hAnsi="Tw Cen MT"/>
          <w:b/>
          <w:bCs/>
          <w:sz w:val="32"/>
          <w:szCs w:val="32"/>
        </w:rPr>
        <w:t>:</w:t>
      </w:r>
    </w:p>
    <w:p w14:paraId="6938D453" w14:textId="5A73CF1B" w:rsidR="00EA0229" w:rsidRDefault="00EA0229" w:rsidP="00EA0229">
      <w:pPr>
        <w:pStyle w:val="ListParagraph"/>
        <w:numPr>
          <w:ilvl w:val="0"/>
          <w:numId w:val="1"/>
        </w:numPr>
        <w:spacing w:after="0" w:line="276" w:lineRule="auto"/>
        <w:ind w:right="360"/>
        <w:rPr>
          <w:rFonts w:ascii="Tw Cen MT" w:hAnsi="Tw Cen MT"/>
        </w:rPr>
      </w:pPr>
      <w:r>
        <w:rPr>
          <w:rFonts w:ascii="Tw Cen MT" w:hAnsi="Tw Cen MT"/>
        </w:rPr>
        <w:t>Students will collect data to serve as the basis for evidence to answer scientific questions or test design solutions. SEP-INV-M4/H2</w:t>
      </w:r>
    </w:p>
    <w:p w14:paraId="749D5809" w14:textId="0AFAD579" w:rsidR="00EA0229" w:rsidRDefault="00EA0229" w:rsidP="00EA0229">
      <w:pPr>
        <w:pStyle w:val="ListParagraph"/>
        <w:numPr>
          <w:ilvl w:val="0"/>
          <w:numId w:val="1"/>
        </w:numPr>
        <w:spacing w:after="0" w:line="276" w:lineRule="auto"/>
        <w:ind w:right="360"/>
        <w:rPr>
          <w:rFonts w:ascii="Tw Cen MT" w:hAnsi="Tw Cen MT"/>
        </w:rPr>
      </w:pPr>
      <w:r>
        <w:rPr>
          <w:rFonts w:ascii="Tw Cen MT" w:hAnsi="Tw Cen MT"/>
        </w:rPr>
        <w:t>Students will analyze and interpret data to determine similarities and differences in findings</w:t>
      </w:r>
      <w:r w:rsidR="00F55A09">
        <w:rPr>
          <w:rFonts w:ascii="Tw Cen MT" w:hAnsi="Tw Cen MT"/>
        </w:rPr>
        <w:t xml:space="preserve"> and/or optimize a process</w:t>
      </w:r>
      <w:r>
        <w:rPr>
          <w:rFonts w:ascii="Tw Cen MT" w:hAnsi="Tw Cen MT"/>
        </w:rPr>
        <w:t>. SEP-DATA-M7/H6</w:t>
      </w:r>
    </w:p>
    <w:p w14:paraId="5C9A8D0D" w14:textId="53F36527" w:rsidR="0063066B" w:rsidRDefault="00F55A09" w:rsidP="00F55A09">
      <w:pPr>
        <w:pStyle w:val="ListParagraph"/>
        <w:numPr>
          <w:ilvl w:val="0"/>
          <w:numId w:val="1"/>
        </w:numPr>
        <w:spacing w:after="0" w:line="276" w:lineRule="auto"/>
        <w:ind w:right="360"/>
        <w:rPr>
          <w:rFonts w:ascii="Tw Cen MT" w:hAnsi="Tw Cen MT"/>
        </w:rPr>
      </w:pPr>
      <w:r>
        <w:rPr>
          <w:rFonts w:ascii="Tw Cen MT" w:hAnsi="Tw Cen MT"/>
        </w:rPr>
        <w:t>Students will construct a written argument supported by evidence and scientific reasoning to support or refute an explanation. SEP-ARG-M3/H4</w:t>
      </w:r>
    </w:p>
    <w:p w14:paraId="3B7C6328" w14:textId="099DD3C1" w:rsidR="00F55A09" w:rsidRDefault="00F55A09" w:rsidP="00F55A09">
      <w:pPr>
        <w:spacing w:after="0" w:line="276" w:lineRule="auto"/>
        <w:ind w:right="360"/>
        <w:rPr>
          <w:rFonts w:ascii="Tw Cen MT" w:hAnsi="Tw Cen MT"/>
        </w:rPr>
      </w:pPr>
    </w:p>
    <w:p w14:paraId="7C3D9883" w14:textId="6210D4EC" w:rsidR="00F55A09" w:rsidRPr="00F55A09" w:rsidRDefault="00F55A09" w:rsidP="00F55A09">
      <w:pPr>
        <w:spacing w:after="0" w:line="276" w:lineRule="auto"/>
        <w:ind w:right="360"/>
        <w:jc w:val="center"/>
        <w:rPr>
          <w:rFonts w:ascii="Tw Cen MT" w:hAnsi="Tw Cen MT"/>
          <w:sz w:val="16"/>
          <w:szCs w:val="16"/>
        </w:rPr>
      </w:pPr>
    </w:p>
    <w:p w14:paraId="4EC571D0" w14:textId="77777777" w:rsidR="00AD74D7" w:rsidRDefault="00AD74D7" w:rsidP="00F03F7F">
      <w:pPr>
        <w:spacing w:after="0" w:line="276" w:lineRule="auto"/>
        <w:ind w:left="360" w:right="360"/>
        <w:rPr>
          <w:rFonts w:ascii="Tw Cen MT" w:hAnsi="Tw Cen MT"/>
          <w:b/>
          <w:bCs/>
          <w:sz w:val="32"/>
          <w:szCs w:val="32"/>
        </w:rPr>
      </w:pPr>
    </w:p>
    <w:p w14:paraId="2DBA1B9A" w14:textId="1AAF365E" w:rsidR="00F03F7F" w:rsidRPr="00F03F7F" w:rsidRDefault="00F03F7F" w:rsidP="00F03F7F">
      <w:pPr>
        <w:spacing w:after="0" w:line="276" w:lineRule="auto"/>
        <w:ind w:left="360" w:right="360"/>
        <w:rPr>
          <w:rFonts w:ascii="Tw Cen MT" w:hAnsi="Tw Cen MT"/>
          <w:b/>
          <w:bCs/>
        </w:rPr>
      </w:pPr>
      <w:r>
        <w:rPr>
          <w:rFonts w:ascii="Tw Cen MT" w:hAnsi="Tw Cen MT"/>
          <w:b/>
          <w:bCs/>
          <w:sz w:val="32"/>
          <w:szCs w:val="32"/>
        </w:rPr>
        <w:t>Overview</w:t>
      </w:r>
      <w:r w:rsidRPr="00EA0229">
        <w:rPr>
          <w:rFonts w:ascii="Tw Cen MT" w:hAnsi="Tw Cen MT"/>
          <w:b/>
          <w:bCs/>
          <w:sz w:val="32"/>
          <w:szCs w:val="32"/>
        </w:rPr>
        <w:t>:</w:t>
      </w:r>
    </w:p>
    <w:p w14:paraId="34739834" w14:textId="38EBFB4D" w:rsidR="00F03F7F" w:rsidRDefault="00F03F7F" w:rsidP="00F03F7F">
      <w:pPr>
        <w:spacing w:after="0" w:line="276" w:lineRule="auto"/>
        <w:ind w:left="360" w:right="360"/>
        <w:rPr>
          <w:rFonts w:ascii="Tw Cen MT" w:hAnsi="Tw Cen MT"/>
        </w:rPr>
      </w:pPr>
      <w:r>
        <w:rPr>
          <w:rFonts w:ascii="Tw Cen MT" w:hAnsi="Tw Cen MT"/>
        </w:rPr>
        <w:t xml:space="preserve">In this activity, students use various forms of data to determine the relative effectiveness of several woodchip bioreactors.  </w:t>
      </w:r>
      <w:r w:rsidRPr="00F03F7F">
        <w:rPr>
          <w:rFonts w:ascii="Tw Cen MT" w:hAnsi="Tw Cen MT"/>
        </w:rPr>
        <w:t>The results from gel electrophoresis (DNA fingerprinting), water quality sampling, and general information about the bioreactor are used to do this</w:t>
      </w:r>
      <w:r>
        <w:rPr>
          <w:rFonts w:ascii="Tw Cen MT" w:hAnsi="Tw Cen MT"/>
        </w:rPr>
        <w:t>.  Students visit four different stations (bioreactors) where they collect relevant information about the bioreactor’s activity and effectiveness in removing nitrates from flow-through water.  A discussion can be had upon conclusion of the activity using these questions or similar:</w:t>
      </w:r>
    </w:p>
    <w:p w14:paraId="5C4E3C58" w14:textId="0558DA43" w:rsidR="00F03F7F" w:rsidRPr="00E8636D" w:rsidRDefault="00E8636D" w:rsidP="00F03F7F">
      <w:pPr>
        <w:pStyle w:val="ListParagraph"/>
        <w:numPr>
          <w:ilvl w:val="0"/>
          <w:numId w:val="5"/>
        </w:numPr>
        <w:spacing w:after="0" w:line="276" w:lineRule="auto"/>
        <w:ind w:right="360"/>
        <w:rPr>
          <w:rFonts w:ascii="Tw Cen MT" w:hAnsi="Tw Cen MT"/>
          <w:bCs/>
        </w:rPr>
      </w:pPr>
      <w:r w:rsidRPr="00E8636D">
        <w:rPr>
          <w:rFonts w:ascii="Tw Cen MT" w:hAnsi="Tw Cen MT"/>
          <w:bCs/>
        </w:rPr>
        <w:t>What evidence seemed most/least useful in determining the effectiveness of a bioreactor?</w:t>
      </w:r>
    </w:p>
    <w:p w14:paraId="3E78EDA6" w14:textId="6110D315" w:rsidR="00E8636D" w:rsidRDefault="00E8636D" w:rsidP="00F03F7F">
      <w:pPr>
        <w:pStyle w:val="ListParagraph"/>
        <w:numPr>
          <w:ilvl w:val="0"/>
          <w:numId w:val="5"/>
        </w:numPr>
        <w:spacing w:after="0" w:line="276" w:lineRule="auto"/>
        <w:ind w:right="360"/>
        <w:rPr>
          <w:rFonts w:ascii="Tw Cen MT" w:hAnsi="Tw Cen MT"/>
          <w:bCs/>
        </w:rPr>
      </w:pPr>
      <w:r>
        <w:rPr>
          <w:rFonts w:ascii="Tw Cen MT" w:hAnsi="Tw Cen MT"/>
          <w:bCs/>
        </w:rPr>
        <w:t>Was any ONE of the bioreactors more effective than the others?  What evidence did you use to make this determination?</w:t>
      </w:r>
    </w:p>
    <w:p w14:paraId="5D7EC770" w14:textId="3B54E316" w:rsidR="00E8636D" w:rsidRPr="00E8636D" w:rsidRDefault="00E8636D" w:rsidP="00F03F7F">
      <w:pPr>
        <w:pStyle w:val="ListParagraph"/>
        <w:numPr>
          <w:ilvl w:val="0"/>
          <w:numId w:val="5"/>
        </w:numPr>
        <w:spacing w:after="0" w:line="276" w:lineRule="auto"/>
        <w:ind w:right="360"/>
        <w:rPr>
          <w:rFonts w:ascii="Tw Cen MT" w:hAnsi="Tw Cen MT"/>
          <w:bCs/>
        </w:rPr>
      </w:pPr>
      <w:r>
        <w:rPr>
          <w:rFonts w:ascii="Tw Cen MT" w:hAnsi="Tw Cen MT"/>
          <w:bCs/>
        </w:rPr>
        <w:t>If you were a researcher at Iowa State University, what might be your next steps in this project?  What else do you want to know/learn?</w:t>
      </w:r>
    </w:p>
    <w:p w14:paraId="6EA792DD" w14:textId="77777777" w:rsidR="00F03F7F" w:rsidRPr="00E8636D" w:rsidRDefault="00F03F7F" w:rsidP="00F03F7F">
      <w:pPr>
        <w:spacing w:after="0" w:line="276" w:lineRule="auto"/>
        <w:ind w:left="360" w:right="360"/>
        <w:rPr>
          <w:rFonts w:ascii="Tw Cen MT" w:hAnsi="Tw Cen MT"/>
          <w:b/>
          <w:bCs/>
        </w:rPr>
      </w:pPr>
    </w:p>
    <w:p w14:paraId="4D8273C8" w14:textId="51A2D3E3" w:rsidR="00F03F7F" w:rsidRPr="00F03F7F" w:rsidRDefault="00F03F7F" w:rsidP="00F03F7F">
      <w:pPr>
        <w:spacing w:after="0" w:line="276" w:lineRule="auto"/>
        <w:ind w:left="360" w:right="360"/>
        <w:rPr>
          <w:rFonts w:ascii="Tw Cen MT" w:hAnsi="Tw Cen MT"/>
          <w:b/>
          <w:bCs/>
        </w:rPr>
      </w:pPr>
      <w:r>
        <w:rPr>
          <w:rFonts w:ascii="Tw Cen MT" w:hAnsi="Tw Cen MT"/>
          <w:b/>
          <w:bCs/>
          <w:sz w:val="32"/>
          <w:szCs w:val="32"/>
        </w:rPr>
        <w:t>Activity Preparation</w:t>
      </w:r>
      <w:r w:rsidRPr="00EA0229">
        <w:rPr>
          <w:rFonts w:ascii="Tw Cen MT" w:hAnsi="Tw Cen MT"/>
          <w:b/>
          <w:bCs/>
          <w:sz w:val="32"/>
          <w:szCs w:val="32"/>
        </w:rPr>
        <w:t>:</w:t>
      </w:r>
    </w:p>
    <w:p w14:paraId="1D5C49E3" w14:textId="2B040DFD" w:rsidR="00027848" w:rsidRDefault="00F03F7F" w:rsidP="00F03F7F">
      <w:pPr>
        <w:pStyle w:val="ListParagraph"/>
        <w:numPr>
          <w:ilvl w:val="0"/>
          <w:numId w:val="4"/>
        </w:numPr>
        <w:spacing w:after="0" w:line="276" w:lineRule="auto"/>
        <w:ind w:right="360"/>
        <w:rPr>
          <w:rFonts w:ascii="Tw Cen MT" w:hAnsi="Tw Cen MT"/>
        </w:rPr>
      </w:pPr>
      <w:r>
        <w:rPr>
          <w:rFonts w:ascii="Tw Cen MT" w:hAnsi="Tw Cen MT"/>
        </w:rPr>
        <w:t>Remove the supplies from the bag provided by the BOEC.</w:t>
      </w:r>
    </w:p>
    <w:p w14:paraId="559966F2" w14:textId="4A190871" w:rsidR="00F03F7F" w:rsidRDefault="00E8636D" w:rsidP="00F03F7F">
      <w:pPr>
        <w:pStyle w:val="ListParagraph"/>
        <w:numPr>
          <w:ilvl w:val="0"/>
          <w:numId w:val="4"/>
        </w:numPr>
        <w:spacing w:after="0" w:line="276" w:lineRule="auto"/>
        <w:ind w:right="360"/>
        <w:rPr>
          <w:rFonts w:ascii="Tw Cen MT" w:hAnsi="Tw Cen MT"/>
        </w:rPr>
      </w:pPr>
      <w:r>
        <w:rPr>
          <w:rFonts w:ascii="Tw Cen MT" w:hAnsi="Tw Cen MT"/>
        </w:rPr>
        <w:t>Remove the bioreactor data sheets and accompanying electrophoresis gel from the bags.  Place the gel in the empty square on the data sheet.  Scatter these around the classroom, creating four stations for students to visit.</w:t>
      </w:r>
    </w:p>
    <w:p w14:paraId="64B428CB" w14:textId="50DA3010" w:rsidR="00E8636D" w:rsidRDefault="00E8636D" w:rsidP="00F03F7F">
      <w:pPr>
        <w:pStyle w:val="ListParagraph"/>
        <w:numPr>
          <w:ilvl w:val="0"/>
          <w:numId w:val="4"/>
        </w:numPr>
        <w:spacing w:after="0" w:line="276" w:lineRule="auto"/>
        <w:ind w:right="360"/>
        <w:rPr>
          <w:rFonts w:ascii="Tw Cen MT" w:hAnsi="Tw Cen MT"/>
        </w:rPr>
      </w:pPr>
      <w:r>
        <w:rPr>
          <w:rFonts w:ascii="Tw Cen MT" w:hAnsi="Tw Cen MT"/>
        </w:rPr>
        <w:t>Make copies of the student pages (front/back, flip on short side) and fold them in half, if desired.</w:t>
      </w:r>
      <w:r w:rsidR="00466120">
        <w:rPr>
          <w:rFonts w:ascii="Tw Cen MT" w:hAnsi="Tw Cen MT"/>
        </w:rPr>
        <w:t xml:space="preserve">  Students may work alone or in pairs/small groups.</w:t>
      </w:r>
    </w:p>
    <w:p w14:paraId="16590F7C" w14:textId="0283FCC1" w:rsidR="00E8636D" w:rsidRDefault="00466120" w:rsidP="00F03F7F">
      <w:pPr>
        <w:pStyle w:val="ListParagraph"/>
        <w:numPr>
          <w:ilvl w:val="0"/>
          <w:numId w:val="4"/>
        </w:numPr>
        <w:spacing w:after="0" w:line="276" w:lineRule="auto"/>
        <w:ind w:right="360"/>
        <w:rPr>
          <w:rFonts w:ascii="Tw Cen MT" w:hAnsi="Tw Cen MT"/>
        </w:rPr>
      </w:pPr>
      <w:r>
        <w:rPr>
          <w:rFonts w:ascii="Tw Cen MT" w:hAnsi="Tw Cen MT"/>
        </w:rPr>
        <w:t>Provide students time to visit all four stations, collecting necessary information from each one.</w:t>
      </w:r>
    </w:p>
    <w:p w14:paraId="1C8439C1" w14:textId="363FE626" w:rsidR="00466120" w:rsidRDefault="00466120" w:rsidP="00F03F7F">
      <w:pPr>
        <w:pStyle w:val="ListParagraph"/>
        <w:numPr>
          <w:ilvl w:val="0"/>
          <w:numId w:val="4"/>
        </w:numPr>
        <w:spacing w:after="0" w:line="276" w:lineRule="auto"/>
        <w:ind w:right="360"/>
        <w:rPr>
          <w:rFonts w:ascii="Tw Cen MT" w:hAnsi="Tw Cen MT"/>
        </w:rPr>
      </w:pPr>
      <w:r>
        <w:rPr>
          <w:rFonts w:ascii="Tw Cen MT" w:hAnsi="Tw Cen MT"/>
        </w:rPr>
        <w:t>Use the discussion questions above to help students process and make sense of their findings.</w:t>
      </w:r>
    </w:p>
    <w:p w14:paraId="4C6D106D" w14:textId="7311465C" w:rsidR="00466120" w:rsidRDefault="00466120" w:rsidP="00466120">
      <w:pPr>
        <w:spacing w:after="0" w:line="276" w:lineRule="auto"/>
        <w:ind w:right="360"/>
        <w:rPr>
          <w:rFonts w:ascii="Tw Cen MT" w:hAnsi="Tw Cen MT"/>
        </w:rPr>
      </w:pPr>
    </w:p>
    <w:p w14:paraId="38645F45" w14:textId="4E18252F" w:rsidR="00466120" w:rsidRPr="00F03F7F" w:rsidRDefault="00466120" w:rsidP="00466120">
      <w:pPr>
        <w:spacing w:after="0" w:line="276" w:lineRule="auto"/>
        <w:ind w:left="360" w:right="360"/>
        <w:rPr>
          <w:rFonts w:ascii="Tw Cen MT" w:hAnsi="Tw Cen MT"/>
          <w:b/>
          <w:bCs/>
        </w:rPr>
      </w:pPr>
      <w:r>
        <w:rPr>
          <w:rFonts w:ascii="Tw Cen MT" w:hAnsi="Tw Cen MT"/>
          <w:b/>
          <w:bCs/>
          <w:sz w:val="32"/>
          <w:szCs w:val="32"/>
        </w:rPr>
        <w:t>Take-aways</w:t>
      </w:r>
      <w:r w:rsidRPr="00EA0229">
        <w:rPr>
          <w:rFonts w:ascii="Tw Cen MT" w:hAnsi="Tw Cen MT"/>
          <w:b/>
          <w:bCs/>
          <w:sz w:val="32"/>
          <w:szCs w:val="32"/>
        </w:rPr>
        <w:t>:</w:t>
      </w:r>
    </w:p>
    <w:p w14:paraId="78C51D65" w14:textId="03400AF8" w:rsidR="00466120" w:rsidRDefault="00466120" w:rsidP="00466120">
      <w:pPr>
        <w:pStyle w:val="ListParagraph"/>
        <w:numPr>
          <w:ilvl w:val="0"/>
          <w:numId w:val="6"/>
        </w:numPr>
        <w:spacing w:after="0" w:line="276" w:lineRule="auto"/>
        <w:ind w:right="360"/>
        <w:rPr>
          <w:rFonts w:ascii="Tw Cen MT" w:hAnsi="Tw Cen MT"/>
        </w:rPr>
      </w:pPr>
      <w:r>
        <w:rPr>
          <w:rFonts w:ascii="Tw Cen MT" w:hAnsi="Tw Cen MT"/>
        </w:rPr>
        <w:t>Data collected from the bioreactors is not “clean”.  Some data may contradict other findings, making it more difficult to determine a “winning” bioreactor.</w:t>
      </w:r>
    </w:p>
    <w:p w14:paraId="4AF17AA0" w14:textId="175BAD8E" w:rsidR="00466120" w:rsidRDefault="00466120" w:rsidP="00466120">
      <w:pPr>
        <w:pStyle w:val="ListParagraph"/>
        <w:numPr>
          <w:ilvl w:val="0"/>
          <w:numId w:val="6"/>
        </w:numPr>
        <w:spacing w:after="0" w:line="276" w:lineRule="auto"/>
        <w:ind w:right="360"/>
        <w:rPr>
          <w:rFonts w:ascii="Tw Cen MT" w:hAnsi="Tw Cen MT"/>
        </w:rPr>
      </w:pPr>
      <w:r>
        <w:rPr>
          <w:rFonts w:ascii="Tw Cen MT" w:hAnsi="Tw Cen MT"/>
        </w:rPr>
        <w:t xml:space="preserve">Research scientists use a variety of data when trying to discern the effectiveness of a project/system.  This serves as the </w:t>
      </w:r>
      <w:r>
        <w:rPr>
          <w:rFonts w:ascii="Tw Cen MT" w:hAnsi="Tw Cen MT"/>
        </w:rPr>
        <w:t>basis for evidence to answer scientific questions</w:t>
      </w:r>
      <w:r>
        <w:rPr>
          <w:rFonts w:ascii="Tw Cen MT" w:hAnsi="Tw Cen MT"/>
        </w:rPr>
        <w:t>.</w:t>
      </w:r>
    </w:p>
    <w:p w14:paraId="331DEE70" w14:textId="27462490" w:rsidR="00466120" w:rsidRPr="00466120" w:rsidRDefault="00466120" w:rsidP="00466120">
      <w:pPr>
        <w:pStyle w:val="ListParagraph"/>
        <w:numPr>
          <w:ilvl w:val="0"/>
          <w:numId w:val="6"/>
        </w:numPr>
        <w:spacing w:after="0" w:line="276" w:lineRule="auto"/>
        <w:ind w:right="360"/>
        <w:rPr>
          <w:rFonts w:ascii="Tw Cen MT" w:hAnsi="Tw Cen MT"/>
        </w:rPr>
      </w:pPr>
      <w:r>
        <w:rPr>
          <w:rFonts w:ascii="Tw Cen MT" w:hAnsi="Tw Cen MT"/>
        </w:rPr>
        <w:t>Data sets vary in size/scale.  Sometimes they are messy and require analysis from many perspectives.</w:t>
      </w:r>
    </w:p>
    <w:p w14:paraId="7AC8817A" w14:textId="48F56A53" w:rsidR="00F03F7F" w:rsidRDefault="00F03F7F" w:rsidP="00466120">
      <w:pPr>
        <w:spacing w:after="0" w:line="276" w:lineRule="auto"/>
        <w:ind w:left="360" w:right="360"/>
        <w:jc w:val="center"/>
        <w:rPr>
          <w:rFonts w:ascii="Tw Cen MT" w:hAnsi="Tw Cen MT"/>
          <w:b/>
          <w:bCs/>
          <w:color w:val="C00000"/>
          <w:sz w:val="40"/>
          <w:szCs w:val="40"/>
        </w:rPr>
      </w:pPr>
    </w:p>
    <w:p w14:paraId="09FCCCF8" w14:textId="424FFF44" w:rsidR="00466120" w:rsidRDefault="00466120" w:rsidP="00466120">
      <w:pPr>
        <w:spacing w:after="0" w:line="276" w:lineRule="auto"/>
        <w:ind w:left="360" w:right="360"/>
        <w:jc w:val="center"/>
        <w:rPr>
          <w:rFonts w:ascii="Tw Cen MT" w:hAnsi="Tw Cen MT"/>
          <w:b/>
          <w:bCs/>
          <w:color w:val="C00000"/>
          <w:sz w:val="40"/>
          <w:szCs w:val="40"/>
        </w:rPr>
      </w:pPr>
    </w:p>
    <w:p w14:paraId="12009DE3" w14:textId="3CB5BA33" w:rsidR="00466120" w:rsidRDefault="00466120" w:rsidP="00466120">
      <w:pPr>
        <w:spacing w:after="0" w:line="276" w:lineRule="auto"/>
        <w:ind w:left="360" w:right="360"/>
        <w:jc w:val="center"/>
        <w:rPr>
          <w:rFonts w:ascii="Tw Cen MT" w:hAnsi="Tw Cen MT"/>
          <w:b/>
          <w:bCs/>
          <w:color w:val="C00000"/>
          <w:sz w:val="40"/>
          <w:szCs w:val="40"/>
        </w:rPr>
      </w:pPr>
    </w:p>
    <w:p w14:paraId="22B4FADD" w14:textId="1408BCF1" w:rsidR="00466120" w:rsidRDefault="00466120" w:rsidP="00466120">
      <w:pPr>
        <w:spacing w:after="0" w:line="276" w:lineRule="auto"/>
        <w:ind w:left="360" w:right="360"/>
        <w:jc w:val="center"/>
        <w:rPr>
          <w:rFonts w:ascii="Tw Cen MT" w:hAnsi="Tw Cen MT"/>
          <w:b/>
          <w:bCs/>
          <w:color w:val="C00000"/>
          <w:sz w:val="40"/>
          <w:szCs w:val="40"/>
        </w:rPr>
      </w:pPr>
    </w:p>
    <w:p w14:paraId="2E45160F" w14:textId="2B6C133E" w:rsidR="00466120" w:rsidRDefault="00466120" w:rsidP="00466120">
      <w:pPr>
        <w:spacing w:after="0" w:line="276" w:lineRule="auto"/>
        <w:ind w:left="360" w:right="360"/>
        <w:jc w:val="center"/>
        <w:rPr>
          <w:rFonts w:ascii="Tw Cen MT" w:hAnsi="Tw Cen MT"/>
          <w:b/>
          <w:bCs/>
          <w:color w:val="C00000"/>
          <w:sz w:val="40"/>
          <w:szCs w:val="40"/>
        </w:rPr>
      </w:pPr>
      <w:bookmarkStart w:id="0" w:name="_GoBack"/>
      <w:bookmarkEnd w:id="0"/>
    </w:p>
    <w:p w14:paraId="6C2B0A89" w14:textId="4A4021E1" w:rsidR="00466120" w:rsidRDefault="00466120" w:rsidP="00466120">
      <w:pPr>
        <w:spacing w:after="0" w:line="276" w:lineRule="auto"/>
        <w:ind w:left="360" w:right="360"/>
        <w:jc w:val="center"/>
        <w:rPr>
          <w:rFonts w:ascii="Tw Cen MT" w:hAnsi="Tw Cen MT"/>
          <w:b/>
          <w:bCs/>
          <w:color w:val="C00000"/>
          <w:sz w:val="40"/>
          <w:szCs w:val="40"/>
        </w:rPr>
      </w:pPr>
    </w:p>
    <w:p w14:paraId="1960952C" w14:textId="29478A0F" w:rsidR="00466120" w:rsidRDefault="00466120" w:rsidP="00466120">
      <w:pPr>
        <w:spacing w:after="0" w:line="276" w:lineRule="auto"/>
        <w:ind w:left="360" w:right="360"/>
        <w:jc w:val="center"/>
        <w:rPr>
          <w:rFonts w:ascii="Tw Cen MT" w:hAnsi="Tw Cen MT"/>
          <w:b/>
          <w:bCs/>
          <w:color w:val="C00000"/>
          <w:sz w:val="40"/>
          <w:szCs w:val="40"/>
        </w:rPr>
      </w:pPr>
    </w:p>
    <w:p w14:paraId="38882975" w14:textId="77777777" w:rsidR="00466120" w:rsidRDefault="00466120" w:rsidP="00466120">
      <w:pPr>
        <w:spacing w:after="0" w:line="276" w:lineRule="auto"/>
        <w:ind w:left="360" w:right="360"/>
        <w:jc w:val="center"/>
        <w:rPr>
          <w:rFonts w:ascii="Tw Cen MT" w:hAnsi="Tw Cen MT"/>
          <w:b/>
          <w:bCs/>
          <w:color w:val="C00000"/>
          <w:sz w:val="40"/>
          <w:szCs w:val="40"/>
        </w:rPr>
      </w:pPr>
    </w:p>
    <w:p w14:paraId="09AF367A" w14:textId="61E72021" w:rsidR="00721B97" w:rsidRPr="00027848" w:rsidRDefault="00721B97" w:rsidP="00721B97">
      <w:pPr>
        <w:spacing w:after="0" w:line="276" w:lineRule="auto"/>
        <w:ind w:right="360"/>
        <w:jc w:val="center"/>
        <w:rPr>
          <w:rFonts w:ascii="Tw Cen MT" w:hAnsi="Tw Cen MT"/>
          <w:b/>
          <w:bCs/>
          <w:color w:val="C00000"/>
          <w:sz w:val="40"/>
          <w:szCs w:val="40"/>
        </w:rPr>
      </w:pPr>
      <w:r>
        <w:rPr>
          <w:rFonts w:ascii="Tw Cen MT" w:hAnsi="Tw Cen MT"/>
          <w:b/>
          <w:bCs/>
          <w:color w:val="C00000"/>
          <w:sz w:val="40"/>
          <w:szCs w:val="40"/>
        </w:rPr>
        <w:t>Want to know more?</w:t>
      </w:r>
    </w:p>
    <w:tbl>
      <w:tblPr>
        <w:tblStyle w:val="TableGrid"/>
        <w:tblW w:w="9000"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410"/>
      </w:tblGrid>
      <w:tr w:rsidR="00721B97" w14:paraId="5CC6FE33" w14:textId="77777777" w:rsidTr="00721B97">
        <w:tc>
          <w:tcPr>
            <w:tcW w:w="4590" w:type="dxa"/>
          </w:tcPr>
          <w:p w14:paraId="5A1769F8" w14:textId="77777777" w:rsidR="00721B97" w:rsidRPr="00721B97" w:rsidRDefault="00721B97" w:rsidP="00721B97">
            <w:pPr>
              <w:spacing w:line="276" w:lineRule="auto"/>
              <w:ind w:right="360"/>
              <w:rPr>
                <w:rFonts w:ascii="Tw Cen MT" w:hAnsi="Tw Cen MT"/>
                <w:b/>
                <w:bCs/>
                <w:sz w:val="40"/>
                <w:szCs w:val="40"/>
              </w:rPr>
            </w:pPr>
            <w:r w:rsidRPr="00721B97">
              <w:rPr>
                <w:rFonts w:ascii="Tw Cen MT" w:hAnsi="Tw Cen MT"/>
                <w:b/>
                <w:bCs/>
                <w:sz w:val="40"/>
                <w:szCs w:val="40"/>
              </w:rPr>
              <w:t>Eric Hall</w:t>
            </w:r>
          </w:p>
          <w:p w14:paraId="6D8BCD95" w14:textId="3FECDFCE" w:rsidR="00721B97" w:rsidRDefault="00721B97" w:rsidP="00721B97">
            <w:pPr>
              <w:spacing w:line="276" w:lineRule="auto"/>
              <w:ind w:right="360"/>
              <w:rPr>
                <w:rFonts w:ascii="Tw Cen MT" w:hAnsi="Tw Cen MT"/>
                <w:sz w:val="36"/>
                <w:szCs w:val="36"/>
              </w:rPr>
            </w:pPr>
            <w:r>
              <w:rPr>
                <w:rFonts w:ascii="Tw Cen MT" w:hAnsi="Tw Cen MT"/>
                <w:sz w:val="36"/>
                <w:szCs w:val="36"/>
              </w:rPr>
              <w:t>BOEC Program Coordinator</w:t>
            </w:r>
          </w:p>
        </w:tc>
        <w:tc>
          <w:tcPr>
            <w:tcW w:w="4410" w:type="dxa"/>
          </w:tcPr>
          <w:p w14:paraId="29D1DE56" w14:textId="6ADEFE6C" w:rsidR="00721B97" w:rsidRDefault="00721B97" w:rsidP="00E3116A">
            <w:pPr>
              <w:spacing w:line="276" w:lineRule="auto"/>
              <w:ind w:right="64"/>
              <w:jc w:val="right"/>
              <w:rPr>
                <w:rFonts w:ascii="Tw Cen MT" w:hAnsi="Tw Cen MT"/>
                <w:sz w:val="36"/>
                <w:szCs w:val="36"/>
              </w:rPr>
            </w:pPr>
            <w:r>
              <w:rPr>
                <w:rFonts w:ascii="Tw Cen MT" w:hAnsi="Tw Cen MT"/>
                <w:sz w:val="36"/>
                <w:szCs w:val="36"/>
              </w:rPr>
              <w:t xml:space="preserve">Email:  </w:t>
            </w:r>
            <w:hyperlink r:id="rId6" w:history="1">
              <w:r w:rsidRPr="00963D2A">
                <w:rPr>
                  <w:rStyle w:val="Hyperlink"/>
                  <w:rFonts w:ascii="Tw Cen MT" w:hAnsi="Tw Cen MT"/>
                  <w:sz w:val="36"/>
                  <w:szCs w:val="36"/>
                </w:rPr>
                <w:t>ethall@iastate.edu</w:t>
              </w:r>
            </w:hyperlink>
          </w:p>
          <w:p w14:paraId="275AADB7" w14:textId="1D7D31D1" w:rsidR="00721B97" w:rsidRDefault="00721B97" w:rsidP="00E3116A">
            <w:pPr>
              <w:spacing w:line="276" w:lineRule="auto"/>
              <w:ind w:right="64"/>
              <w:jc w:val="right"/>
              <w:rPr>
                <w:rFonts w:ascii="Tw Cen MT" w:hAnsi="Tw Cen MT"/>
                <w:sz w:val="36"/>
                <w:szCs w:val="36"/>
              </w:rPr>
            </w:pPr>
            <w:r>
              <w:rPr>
                <w:rFonts w:ascii="Tw Cen MT" w:hAnsi="Tw Cen MT"/>
                <w:sz w:val="36"/>
                <w:szCs w:val="36"/>
              </w:rPr>
              <w:t>Phone:  515-294-5949</w:t>
            </w:r>
          </w:p>
        </w:tc>
      </w:tr>
    </w:tbl>
    <w:p w14:paraId="218E4900" w14:textId="77777777" w:rsidR="00027848" w:rsidRPr="00721B97" w:rsidRDefault="00027848" w:rsidP="00721B97">
      <w:pPr>
        <w:spacing w:after="0" w:line="276" w:lineRule="auto"/>
        <w:ind w:right="360"/>
        <w:rPr>
          <w:rFonts w:ascii="Tw Cen MT" w:hAnsi="Tw Cen MT"/>
          <w:sz w:val="2"/>
          <w:szCs w:val="2"/>
        </w:rPr>
      </w:pPr>
    </w:p>
    <w:sectPr w:rsidR="00027848" w:rsidRPr="00721B97" w:rsidSect="0063066B">
      <w:pgSz w:w="12240" w:h="15840"/>
      <w:pgMar w:top="720" w:right="720" w:bottom="720" w:left="720" w:header="720" w:footer="720" w:gutter="0"/>
      <w:pgBorders w:offsetFrom="page">
        <w:top w:val="thinThickMediumGap" w:sz="48" w:space="24" w:color="FFC000" w:themeColor="accent4"/>
        <w:left w:val="thinThickMediumGap" w:sz="48" w:space="24" w:color="FFC000" w:themeColor="accent4"/>
        <w:bottom w:val="thickThinMediumGap" w:sz="48" w:space="24" w:color="FFC000" w:themeColor="accent4"/>
        <w:right w:val="thickThinMediumGap" w:sz="48" w:space="24" w:color="FFC000" w:themeColor="accent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71DC"/>
    <w:multiLevelType w:val="hybridMultilevel"/>
    <w:tmpl w:val="D09A2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57264D"/>
    <w:multiLevelType w:val="hybridMultilevel"/>
    <w:tmpl w:val="2DBE5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17355F"/>
    <w:multiLevelType w:val="hybridMultilevel"/>
    <w:tmpl w:val="60DE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D54C8"/>
    <w:multiLevelType w:val="hybridMultilevel"/>
    <w:tmpl w:val="9B801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066D15"/>
    <w:multiLevelType w:val="hybridMultilevel"/>
    <w:tmpl w:val="1FFC6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95017D"/>
    <w:multiLevelType w:val="hybridMultilevel"/>
    <w:tmpl w:val="6BB0AFD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zNDczMzUxMzA0tDRX0lEKTi0uzszPAykwrgUAu1Le4iwAAAA="/>
  </w:docVars>
  <w:rsids>
    <w:rsidRoot w:val="0063066B"/>
    <w:rsid w:val="00027848"/>
    <w:rsid w:val="001E0644"/>
    <w:rsid w:val="00304367"/>
    <w:rsid w:val="00466120"/>
    <w:rsid w:val="0063066B"/>
    <w:rsid w:val="00721B97"/>
    <w:rsid w:val="007669B2"/>
    <w:rsid w:val="009E598D"/>
    <w:rsid w:val="00AD74D7"/>
    <w:rsid w:val="00CA1EF3"/>
    <w:rsid w:val="00E3116A"/>
    <w:rsid w:val="00E8636D"/>
    <w:rsid w:val="00EA0229"/>
    <w:rsid w:val="00F03F7F"/>
    <w:rsid w:val="00F5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1D4E"/>
  <w15:chartTrackingRefBased/>
  <w15:docId w15:val="{E4519AC2-3F19-47AF-AAAD-D0F7A7C5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229"/>
    <w:pPr>
      <w:ind w:left="720"/>
      <w:contextualSpacing/>
    </w:pPr>
  </w:style>
  <w:style w:type="table" w:styleId="TableGrid">
    <w:name w:val="Table Grid"/>
    <w:basedOn w:val="TableNormal"/>
    <w:uiPriority w:val="39"/>
    <w:rsid w:val="0072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1B97"/>
    <w:rPr>
      <w:color w:val="0563C1" w:themeColor="hyperlink"/>
      <w:u w:val="single"/>
    </w:rPr>
  </w:style>
  <w:style w:type="character" w:styleId="UnresolvedMention">
    <w:name w:val="Unresolved Mention"/>
    <w:basedOn w:val="DefaultParagraphFont"/>
    <w:uiPriority w:val="99"/>
    <w:semiHidden/>
    <w:unhideWhenUsed/>
    <w:rsid w:val="00721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all@iasta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765</Words>
  <Characters>4339</Characters>
  <Application>Microsoft Office Word</Application>
  <DocSecurity>0</DocSecurity>
  <Lines>80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Hall</dc:creator>
  <cp:keywords/>
  <dc:description/>
  <cp:lastModifiedBy>BOEC</cp:lastModifiedBy>
  <cp:revision>5</cp:revision>
  <cp:lastPrinted>2022-06-13T00:20:00Z</cp:lastPrinted>
  <dcterms:created xsi:type="dcterms:W3CDTF">2022-05-10T23:07:00Z</dcterms:created>
  <dcterms:modified xsi:type="dcterms:W3CDTF">2023-03-21T17:41:00Z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8fa5bc9bd71a65da5ade5afe3dbd0fe92f6ee73fe5af73eae92c3e37470a2cf1</vt:lpwstr>
  </property>
</Properties>
</file>